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внесення змін до деяких законодавчих актів України щодо протидії булінгу (цькуванню)</w:t>
      </w:r>
    </w:p>
    <w:p>
      <w:pPr>
        <w:pStyle w:val="rvps7"/>
        <w:spacing w:before="150" w:after="150"/>
        <w:ind w:left="450" w:right="450"/>
        <w:rPr>
          <w:rStyle w:val="spanrvts0"/>
          <w:b w:val="0"/>
          <w:bCs w:val="0"/>
          <w:i w:val="0"/>
          <w:iCs w:val="0"/>
          <w:lang w:val="uk" w:eastAsia="uk"/>
        </w:rPr>
      </w:pPr>
      <w:bookmarkStart w:id="2" w:name="n96"/>
      <w:bookmarkEnd w:id="2"/>
      <w:r>
        <w:rPr>
          <w:rStyle w:val="spanrvts44"/>
          <w:b/>
          <w:bCs/>
          <w:i w:val="0"/>
          <w:iCs w:val="0"/>
          <w:lang w:val="uk" w:eastAsia="uk"/>
        </w:rPr>
        <w:t>(Відомості Верховної Ради (ВВР), 2019, № 5, ст.33)</w:t>
      </w:r>
    </w:p>
    <w:p>
      <w:pPr>
        <w:pStyle w:val="rvps2"/>
        <w:spacing w:before="0" w:after="150"/>
        <w:ind w:left="0" w:right="0"/>
        <w:rPr>
          <w:rStyle w:val="spanrvts0"/>
          <w:b w:val="0"/>
          <w:bCs w:val="0"/>
          <w:i w:val="0"/>
          <w:iCs w:val="0"/>
          <w:lang w:val="uk" w:eastAsia="uk"/>
        </w:rPr>
      </w:pPr>
      <w:bookmarkStart w:id="3" w:name="n4"/>
      <w:bookmarkEnd w:id="3"/>
      <w:r>
        <w:rPr>
          <w:rStyle w:val="spanrvts0"/>
          <w:b w:val="0"/>
          <w:bCs w:val="0"/>
          <w:i w:val="0"/>
          <w:iCs w:val="0"/>
          <w:lang w:val="uk" w:eastAsia="uk"/>
        </w:rPr>
        <w:t xml:space="preserve">Верховна Рада України </w:t>
      </w:r>
      <w:r>
        <w:rPr>
          <w:rStyle w:val="spanrvts52"/>
          <w:b/>
          <w:bCs/>
          <w:i w:val="0"/>
          <w:iCs w:val="0"/>
          <w:lang w:val="uk" w:eastAsia="uk"/>
        </w:rPr>
        <w:t>постановляє:</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I. Внести зміни до таких законодавчих актів України:</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1. У </w:t>
      </w:r>
      <w:hyperlink r:id="rId5" w:tgtFrame="_blank" w:history="1">
        <w:r>
          <w:rPr>
            <w:rStyle w:val="arvts96"/>
            <w:b w:val="0"/>
            <w:bCs w:val="0"/>
            <w:i w:val="0"/>
            <w:iCs w:val="0"/>
            <w:lang w:val="uk" w:eastAsia="uk"/>
          </w:rPr>
          <w:t>Кодексі України про адміністративні правопорушення</w:t>
        </w:r>
      </w:hyperlink>
      <w:r>
        <w:rPr>
          <w:rStyle w:val="spanrvts0"/>
          <w:b w:val="0"/>
          <w:bCs w:val="0"/>
          <w:i w:val="0"/>
          <w:iCs w:val="0"/>
          <w:lang w:val="uk" w:eastAsia="uk"/>
        </w:rPr>
        <w:t xml:space="preserve"> (Відомості Верховної Ради УРСР, 1984 р., № 51, ст. 1122):</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 xml:space="preserve">1) </w:t>
      </w:r>
      <w:hyperlink r:id="rId5" w:anchor="n72"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13 після цифр "173" доповнити цифрами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2) доповнити статтею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w:t>
      </w:r>
      <w:r>
        <w:rPr>
          <w:rStyle w:val="spanrvts9"/>
          <w:b/>
          <w:bCs/>
          <w:i w:val="0"/>
          <w:iCs w:val="0"/>
          <w:lang w:val="uk" w:eastAsia="uk"/>
        </w:rPr>
        <w:t>Стаття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Булінг (цькування) учасника освітнього процесу</w:t>
      </w:r>
    </w:p>
    <w:p>
      <w:pPr>
        <w:pStyle w:val="rvps2"/>
        <w:spacing w:before="0" w:after="150"/>
        <w:ind w:left="0" w:right="0"/>
        <w:rPr>
          <w:rStyle w:val="spanrvts0"/>
          <w:b w:val="0"/>
          <w:bCs w:val="0"/>
          <w:i w:val="0"/>
          <w:iCs w:val="0"/>
          <w:lang w:val="uk" w:eastAsia="uk"/>
        </w:rPr>
      </w:pPr>
      <w:bookmarkStart w:id="9" w:name="n10"/>
      <w:bookmarkEnd w:id="9"/>
      <w:r>
        <w:rPr>
          <w:rStyle w:val="spanrvts0"/>
          <w:b w:val="0"/>
          <w:bCs w:val="0"/>
          <w:i w:val="0"/>
          <w:iCs w:val="0"/>
          <w:lang w:val="uk" w:eastAsia="uk"/>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pPr>
        <w:pStyle w:val="rvps2"/>
        <w:spacing w:before="0" w:after="150"/>
        <w:ind w:left="0" w:right="0"/>
        <w:rPr>
          <w:rStyle w:val="spanrvts0"/>
          <w:b w:val="0"/>
          <w:bCs w:val="0"/>
          <w:i w:val="0"/>
          <w:iCs w:val="0"/>
          <w:lang w:val="uk" w:eastAsia="uk"/>
        </w:rPr>
      </w:pPr>
      <w:bookmarkStart w:id="10" w:name="n11"/>
      <w:bookmarkEnd w:id="10"/>
      <w:r>
        <w:rPr>
          <w:rStyle w:val="spanrvts0"/>
          <w:b w:val="0"/>
          <w:bCs w:val="0"/>
          <w:i w:val="0"/>
          <w:iCs w:val="0"/>
          <w:lang w:val="uk" w:eastAsia="uk"/>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pPr>
        <w:pStyle w:val="rvps2"/>
        <w:spacing w:before="0" w:after="150"/>
        <w:ind w:left="0" w:right="0"/>
        <w:rPr>
          <w:rStyle w:val="spanrvts0"/>
          <w:b w:val="0"/>
          <w:bCs w:val="0"/>
          <w:i w:val="0"/>
          <w:iCs w:val="0"/>
          <w:lang w:val="uk" w:eastAsia="uk"/>
        </w:rPr>
      </w:pPr>
      <w:bookmarkStart w:id="11" w:name="n12"/>
      <w:bookmarkEnd w:id="11"/>
      <w:r>
        <w:rPr>
          <w:rStyle w:val="spanrvts0"/>
          <w:b w:val="0"/>
          <w:bCs w:val="0"/>
          <w:i w:val="0"/>
          <w:iCs w:val="0"/>
          <w:lang w:val="uk" w:eastAsia="uk"/>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pPr>
        <w:pStyle w:val="rvps2"/>
        <w:spacing w:before="0" w:after="150"/>
        <w:ind w:left="0" w:right="0"/>
        <w:rPr>
          <w:rStyle w:val="spanrvts0"/>
          <w:b w:val="0"/>
          <w:bCs w:val="0"/>
          <w:i w:val="0"/>
          <w:iCs w:val="0"/>
          <w:lang w:val="uk" w:eastAsia="uk"/>
        </w:rPr>
      </w:pPr>
      <w:bookmarkStart w:id="12" w:name="n13"/>
      <w:bookmarkEnd w:id="12"/>
      <w:r>
        <w:rPr>
          <w:rStyle w:val="spanrvts0"/>
          <w:b w:val="0"/>
          <w:bCs w:val="0"/>
          <w:i w:val="0"/>
          <w:iCs w:val="0"/>
          <w:lang w:val="uk" w:eastAsia="uk"/>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pPr>
        <w:pStyle w:val="rvps2"/>
        <w:spacing w:before="0" w:after="150"/>
        <w:ind w:left="0" w:right="0"/>
        <w:rPr>
          <w:rStyle w:val="spanrvts0"/>
          <w:b w:val="0"/>
          <w:bCs w:val="0"/>
          <w:i w:val="0"/>
          <w:iCs w:val="0"/>
          <w:lang w:val="uk" w:eastAsia="uk"/>
        </w:rPr>
      </w:pPr>
      <w:bookmarkStart w:id="13" w:name="n14"/>
      <w:bookmarkEnd w:id="13"/>
      <w:r>
        <w:rPr>
          <w:rStyle w:val="spanrvts0"/>
          <w:b w:val="0"/>
          <w:bCs w:val="0"/>
          <w:i w:val="0"/>
          <w:iCs w:val="0"/>
          <w:lang w:val="uk" w:eastAsia="uk"/>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pPr>
        <w:pStyle w:val="rvps2"/>
        <w:spacing w:before="0" w:after="150"/>
        <w:ind w:left="0" w:right="0"/>
        <w:rPr>
          <w:rStyle w:val="spanrvts0"/>
          <w:b w:val="0"/>
          <w:bCs w:val="0"/>
          <w:i w:val="0"/>
          <w:iCs w:val="0"/>
          <w:lang w:val="uk" w:eastAsia="uk"/>
        </w:rPr>
      </w:pPr>
      <w:bookmarkStart w:id="14" w:name="n15"/>
      <w:bookmarkEnd w:id="14"/>
      <w:r>
        <w:rPr>
          <w:rStyle w:val="spanrvts0"/>
          <w:b w:val="0"/>
          <w:bCs w:val="0"/>
          <w:i w:val="0"/>
          <w:iCs w:val="0"/>
          <w:lang w:val="uk" w:eastAsia="uk"/>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pPr>
        <w:pStyle w:val="rvps2"/>
        <w:spacing w:before="0" w:after="150"/>
        <w:ind w:left="0" w:right="0"/>
        <w:rPr>
          <w:rStyle w:val="spanrvts0"/>
          <w:b w:val="0"/>
          <w:bCs w:val="0"/>
          <w:i w:val="0"/>
          <w:iCs w:val="0"/>
          <w:lang w:val="uk" w:eastAsia="uk"/>
        </w:rPr>
      </w:pPr>
      <w:bookmarkStart w:id="15" w:name="n16"/>
      <w:bookmarkEnd w:id="15"/>
      <w:r>
        <w:rPr>
          <w:rStyle w:val="spanrvts0"/>
          <w:b w:val="0"/>
          <w:bCs w:val="0"/>
          <w:i w:val="0"/>
          <w:iCs w:val="0"/>
          <w:lang w:val="uk" w:eastAsia="uk"/>
        </w:rPr>
        <w:t>Діяння, передбачене частиною другою цієї статті, вчинене малолітньою або неповнолітньою особою віком від чотирнадцяти до шістнадцяти років, -</w:t>
      </w:r>
    </w:p>
    <w:p>
      <w:pPr>
        <w:pStyle w:val="rvps2"/>
        <w:spacing w:before="0" w:after="150"/>
        <w:ind w:left="0" w:right="0"/>
        <w:rPr>
          <w:rStyle w:val="spanrvts0"/>
          <w:b w:val="0"/>
          <w:bCs w:val="0"/>
          <w:i w:val="0"/>
          <w:iCs w:val="0"/>
          <w:lang w:val="uk" w:eastAsia="uk"/>
        </w:rPr>
      </w:pPr>
      <w:bookmarkStart w:id="16" w:name="n17"/>
      <w:bookmarkEnd w:id="16"/>
      <w:r>
        <w:rPr>
          <w:rStyle w:val="spanrvts0"/>
          <w:b w:val="0"/>
          <w:bCs w:val="0"/>
          <w:i w:val="0"/>
          <w:iCs w:val="0"/>
          <w:lang w:val="uk" w:eastAsia="uk"/>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pPr>
        <w:pStyle w:val="rvps2"/>
        <w:spacing w:before="0" w:after="150"/>
        <w:ind w:left="0" w:right="0"/>
        <w:rPr>
          <w:rStyle w:val="spanrvts0"/>
          <w:b w:val="0"/>
          <w:bCs w:val="0"/>
          <w:i w:val="0"/>
          <w:iCs w:val="0"/>
          <w:lang w:val="uk" w:eastAsia="uk"/>
        </w:rPr>
      </w:pPr>
      <w:bookmarkStart w:id="17" w:name="n18"/>
      <w:bookmarkEnd w:id="17"/>
      <w:r>
        <w:rPr>
          <w:rStyle w:val="spanrvts0"/>
          <w:b w:val="0"/>
          <w:bCs w:val="0"/>
          <w:i w:val="0"/>
          <w:iCs w:val="0"/>
          <w:lang w:val="uk" w:eastAsia="uk"/>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pPr>
        <w:pStyle w:val="rvps2"/>
        <w:spacing w:before="0" w:after="150"/>
        <w:ind w:left="0" w:right="0"/>
        <w:rPr>
          <w:rStyle w:val="spanrvts0"/>
          <w:b w:val="0"/>
          <w:bCs w:val="0"/>
          <w:i w:val="0"/>
          <w:iCs w:val="0"/>
          <w:lang w:val="uk" w:eastAsia="uk"/>
        </w:rPr>
      </w:pPr>
      <w:bookmarkStart w:id="18" w:name="n19"/>
      <w:bookmarkEnd w:id="18"/>
      <w:r>
        <w:rPr>
          <w:rStyle w:val="spanrvts0"/>
          <w:b w:val="0"/>
          <w:bCs w:val="0"/>
          <w:i w:val="0"/>
          <w:iCs w:val="0"/>
          <w:lang w:val="uk" w:eastAsia="uk"/>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pPr>
        <w:pStyle w:val="rvps2"/>
        <w:spacing w:before="0" w:after="150"/>
        <w:ind w:left="0" w:right="0"/>
        <w:rPr>
          <w:rStyle w:val="spanrvts0"/>
          <w:b w:val="0"/>
          <w:bCs w:val="0"/>
          <w:i w:val="0"/>
          <w:iCs w:val="0"/>
          <w:lang w:val="uk" w:eastAsia="uk"/>
        </w:rPr>
      </w:pPr>
      <w:bookmarkStart w:id="19" w:name="n20"/>
      <w:bookmarkEnd w:id="19"/>
      <w:r>
        <w:rPr>
          <w:rStyle w:val="spanrvts0"/>
          <w:b w:val="0"/>
          <w:bCs w:val="0"/>
          <w:i w:val="0"/>
          <w:iCs w:val="0"/>
          <w:lang w:val="uk" w:eastAsia="uk"/>
        </w:rPr>
        <w:t xml:space="preserve">3) </w:t>
      </w:r>
      <w:hyperlink r:id="rId5" w:anchor="n1953" w:tgtFrame="_blank" w:history="1">
        <w:r>
          <w:rPr>
            <w:rStyle w:val="arvts96"/>
            <w:b w:val="0"/>
            <w:bCs w:val="0"/>
            <w:i w:val="0"/>
            <w:iCs w:val="0"/>
            <w:lang w:val="uk" w:eastAsia="uk"/>
          </w:rPr>
          <w:t>абзац перший</w:t>
        </w:r>
      </w:hyperlink>
      <w:r>
        <w:rPr>
          <w:rStyle w:val="spanrvts0"/>
          <w:b w:val="0"/>
          <w:bCs w:val="0"/>
          <w:i w:val="0"/>
          <w:iCs w:val="0"/>
          <w:lang w:val="uk" w:eastAsia="uk"/>
        </w:rPr>
        <w:t xml:space="preserve"> частини третьої статті 184 доповнити словами та цифрами "крім порушень, передбачених частинами третьою або четвертою статті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цього Кодексу";</w:t>
      </w:r>
    </w:p>
    <w:p>
      <w:pPr>
        <w:pStyle w:val="rvps2"/>
        <w:spacing w:before="0" w:after="150"/>
        <w:ind w:left="0" w:right="0"/>
        <w:rPr>
          <w:rStyle w:val="spanrvts0"/>
          <w:b w:val="0"/>
          <w:bCs w:val="0"/>
          <w:i w:val="0"/>
          <w:iCs w:val="0"/>
          <w:lang w:val="uk" w:eastAsia="uk"/>
        </w:rPr>
      </w:pPr>
      <w:bookmarkStart w:id="20" w:name="n21"/>
      <w:bookmarkEnd w:id="20"/>
      <w:r>
        <w:rPr>
          <w:rStyle w:val="spanrvts0"/>
          <w:b w:val="0"/>
          <w:bCs w:val="0"/>
          <w:i w:val="0"/>
          <w:iCs w:val="0"/>
          <w:lang w:val="uk" w:eastAsia="uk"/>
        </w:rPr>
        <w:t xml:space="preserve">4) </w:t>
      </w:r>
      <w:hyperlink r:id="rId6" w:anchor="n45" w:tgtFrame="_blank" w:history="1">
        <w:r>
          <w:rPr>
            <w:rStyle w:val="arvts96"/>
            <w:b w:val="0"/>
            <w:bCs w:val="0"/>
            <w:i w:val="0"/>
            <w:iCs w:val="0"/>
            <w:lang w:val="uk" w:eastAsia="uk"/>
          </w:rPr>
          <w:t>статтю 221</w:t>
        </w:r>
      </w:hyperlink>
      <w:r>
        <w:rPr>
          <w:rStyle w:val="spanrvts0"/>
          <w:b w:val="0"/>
          <w:bCs w:val="0"/>
          <w:i w:val="0"/>
          <w:iCs w:val="0"/>
          <w:lang w:val="uk" w:eastAsia="uk"/>
        </w:rPr>
        <w:t xml:space="preserve"> після цифр "173-173</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доповнити цифрами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1" w:name="n22"/>
      <w:bookmarkEnd w:id="21"/>
      <w:r>
        <w:rPr>
          <w:rStyle w:val="spanrvts0"/>
          <w:b w:val="0"/>
          <w:bCs w:val="0"/>
          <w:i w:val="0"/>
          <w:iCs w:val="0"/>
          <w:lang w:val="uk" w:eastAsia="uk"/>
        </w:rPr>
        <w:t xml:space="preserve">5) </w:t>
      </w:r>
      <w:hyperlink r:id="rId6" w:anchor="n369" w:tgtFrame="_blank" w:history="1">
        <w:r>
          <w:rPr>
            <w:rStyle w:val="arvts96"/>
            <w:b w:val="0"/>
            <w:bCs w:val="0"/>
            <w:i w:val="0"/>
            <w:iCs w:val="0"/>
            <w:lang w:val="uk" w:eastAsia="uk"/>
          </w:rPr>
          <w:t>абзац другий</w:t>
        </w:r>
      </w:hyperlink>
      <w:r>
        <w:rPr>
          <w:rStyle w:val="spanrvts0"/>
          <w:b w:val="0"/>
          <w:bCs w:val="0"/>
          <w:i w:val="0"/>
          <w:iCs w:val="0"/>
          <w:lang w:val="uk" w:eastAsia="uk"/>
        </w:rPr>
        <w:t xml:space="preserve"> пункту 1 частини першої статті 255 після цифр "173-173</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доповнити цифрами "173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2" w:name="n23"/>
      <w:bookmarkEnd w:id="22"/>
      <w:r>
        <w:rPr>
          <w:rStyle w:val="spanrvts0"/>
          <w:b w:val="0"/>
          <w:bCs w:val="0"/>
          <w:i w:val="0"/>
          <w:iCs w:val="0"/>
          <w:lang w:val="uk" w:eastAsia="uk"/>
        </w:rPr>
        <w:t xml:space="preserve">2. У </w:t>
      </w:r>
      <w:hyperlink r:id="rId7"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(Відомості Верховної Ради України, 2017 р., № 38-39, ст. 380):</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 xml:space="preserve">1) </w:t>
      </w:r>
      <w:hyperlink r:id="rId7" w:anchor="n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1 доповнити пунктом 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24" w:name="n25"/>
      <w:bookmarkEnd w:id="24"/>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Типовими ознаками булінгу (цькування) є:</w:t>
      </w:r>
    </w:p>
    <w:p>
      <w:pPr>
        <w:pStyle w:val="rvps2"/>
        <w:spacing w:before="0" w:after="150"/>
        <w:ind w:left="0" w:right="0"/>
        <w:rPr>
          <w:rStyle w:val="spanrvts0"/>
          <w:b w:val="0"/>
          <w:bCs w:val="0"/>
          <w:i w:val="0"/>
          <w:iCs w:val="0"/>
          <w:lang w:val="uk" w:eastAsia="uk"/>
        </w:rPr>
      </w:pPr>
      <w:bookmarkStart w:id="26" w:name="n27"/>
      <w:bookmarkEnd w:id="26"/>
      <w:r>
        <w:rPr>
          <w:rStyle w:val="spanrvts0"/>
          <w:b w:val="0"/>
          <w:bCs w:val="0"/>
          <w:i w:val="0"/>
          <w:iCs w:val="0"/>
          <w:lang w:val="uk" w:eastAsia="uk"/>
        </w:rPr>
        <w:t>систематичність (повторюваність) діяння;</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наявність сторін - кривдник (булер), потерпілий (жертва булінгу), спостерігачі (за наявності);</w:t>
      </w:r>
    </w:p>
    <w:p>
      <w:pPr>
        <w:pStyle w:val="rvps2"/>
        <w:spacing w:before="0" w:after="150"/>
        <w:ind w:left="0" w:right="0"/>
        <w:rPr>
          <w:rStyle w:val="spanrvts0"/>
          <w:b w:val="0"/>
          <w:bCs w:val="0"/>
          <w:i w:val="0"/>
          <w:iCs w:val="0"/>
          <w:lang w:val="uk" w:eastAsia="uk"/>
        </w:rPr>
      </w:pPr>
      <w:bookmarkStart w:id="28" w:name="n29"/>
      <w:bookmarkEnd w:id="28"/>
      <w:r>
        <w:rPr>
          <w:rStyle w:val="spanrvts0"/>
          <w:b w:val="0"/>
          <w:bCs w:val="0"/>
          <w:i w:val="0"/>
          <w:iCs w:val="0"/>
          <w:lang w:val="uk" w:eastAsia="uk"/>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2)</w:t>
      </w:r>
      <w:hyperlink r:id="rId7" w:anchor="n38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25 після абзацу дев’ятого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30" w:name="n31"/>
      <w:bookmarkEnd w:id="30"/>
      <w:r>
        <w:rPr>
          <w:rStyle w:val="spanrvts0"/>
          <w:b w:val="0"/>
          <w:bCs w:val="0"/>
          <w:i w:val="0"/>
          <w:iCs w:val="0"/>
          <w:lang w:val="uk" w:eastAsia="uk"/>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У зв’язку з цим абзац десятий вважати абзацом одинадцятим;</w:t>
      </w:r>
    </w:p>
    <w:p>
      <w:pPr>
        <w:pStyle w:val="rvps2"/>
        <w:spacing w:before="0" w:after="150"/>
        <w:ind w:left="0" w:right="0"/>
        <w:rPr>
          <w:rStyle w:val="spanrvts0"/>
          <w:b w:val="0"/>
          <w:bCs w:val="0"/>
          <w:i w:val="0"/>
          <w:iCs w:val="0"/>
          <w:lang w:val="uk" w:eastAsia="uk"/>
        </w:rPr>
      </w:pPr>
      <w:bookmarkStart w:id="32" w:name="n33"/>
      <w:bookmarkEnd w:id="32"/>
      <w:r>
        <w:rPr>
          <w:rStyle w:val="spanrvts0"/>
          <w:b w:val="0"/>
          <w:bCs w:val="0"/>
          <w:i w:val="0"/>
          <w:iCs w:val="0"/>
          <w:lang w:val="uk" w:eastAsia="uk"/>
        </w:rPr>
        <w:t xml:space="preserve">3) </w:t>
      </w:r>
      <w:hyperlink r:id="rId7" w:anchor="n407"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26 після абзацу дев’ятого доповнити п’ятьма новими абзацами такого змісту:</w:t>
      </w:r>
    </w:p>
    <w:p>
      <w:pPr>
        <w:pStyle w:val="rvps2"/>
        <w:spacing w:before="0" w:after="150"/>
        <w:ind w:left="0" w:right="0"/>
        <w:rPr>
          <w:rStyle w:val="spanrvts0"/>
          <w:b w:val="0"/>
          <w:bCs w:val="0"/>
          <w:i w:val="0"/>
          <w:iCs w:val="0"/>
          <w:lang w:val="uk" w:eastAsia="uk"/>
        </w:rPr>
      </w:pPr>
      <w:bookmarkStart w:id="33" w:name="n34"/>
      <w:bookmarkEnd w:id="33"/>
      <w:r>
        <w:rPr>
          <w:rStyle w:val="spanrvts0"/>
          <w:b w:val="0"/>
          <w:bCs w:val="0"/>
          <w:i w:val="0"/>
          <w:iCs w:val="0"/>
          <w:lang w:val="uk" w:eastAsia="uk"/>
        </w:rPr>
        <w:t>"забезпечує створення у закладі освіти безпечного освітнього середовища, вільного від насильства та булінгу (цькування), у тому числі:</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pPr>
        <w:pStyle w:val="rvps2"/>
        <w:spacing w:before="0" w:after="150"/>
        <w:ind w:left="0" w:right="0"/>
        <w:rPr>
          <w:rStyle w:val="spanrvts0"/>
          <w:b w:val="0"/>
          <w:bCs w:val="0"/>
          <w:i w:val="0"/>
          <w:iCs w:val="0"/>
          <w:lang w:val="uk" w:eastAsia="uk"/>
        </w:rPr>
      </w:pPr>
      <w:bookmarkStart w:id="35" w:name="n36"/>
      <w:bookmarkEnd w:id="35"/>
      <w:r>
        <w:rPr>
          <w:rStyle w:val="spanrvts0"/>
          <w:b w:val="0"/>
          <w:bCs w:val="0"/>
          <w:i w:val="0"/>
          <w:iCs w:val="0"/>
          <w:lang w:val="uk" w:eastAsia="uk"/>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pPr>
        <w:pStyle w:val="rvps2"/>
        <w:spacing w:before="0" w:after="150"/>
        <w:ind w:left="0" w:right="0"/>
        <w:rPr>
          <w:rStyle w:val="spanrvts0"/>
          <w:b w:val="0"/>
          <w:bCs w:val="0"/>
          <w:i w:val="0"/>
          <w:iCs w:val="0"/>
          <w:lang w:val="uk" w:eastAsia="uk"/>
        </w:rPr>
      </w:pPr>
      <w:bookmarkStart w:id="37" w:name="n38"/>
      <w:bookmarkEnd w:id="37"/>
      <w:r>
        <w:rPr>
          <w:rStyle w:val="spanrvts0"/>
          <w:b w:val="0"/>
          <w:bCs w:val="0"/>
          <w:i w:val="0"/>
          <w:iCs w:val="0"/>
          <w:lang w:val="uk" w:eastAsia="uk"/>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pPr>
        <w:pStyle w:val="rvps2"/>
        <w:spacing w:before="0" w:after="150"/>
        <w:ind w:left="0" w:right="0"/>
        <w:rPr>
          <w:rStyle w:val="spanrvts0"/>
          <w:b w:val="0"/>
          <w:bCs w:val="0"/>
          <w:i w:val="0"/>
          <w:iCs w:val="0"/>
          <w:lang w:val="uk" w:eastAsia="uk"/>
        </w:rPr>
      </w:pPr>
      <w:bookmarkStart w:id="38" w:name="n39"/>
      <w:bookmarkEnd w:id="38"/>
      <w:r>
        <w:rPr>
          <w:rStyle w:val="spanrvts0"/>
          <w:b w:val="0"/>
          <w:bCs w:val="0"/>
          <w:i w:val="0"/>
          <w:iCs w:val="0"/>
          <w:lang w:val="uk" w:eastAsia="uk"/>
        </w:rPr>
        <w:t>У зв’язку з цим абзац десятий вважати абзацом п’ятнадцятим;</w:t>
      </w:r>
    </w:p>
    <w:p>
      <w:pPr>
        <w:pStyle w:val="rvps2"/>
        <w:spacing w:before="0" w:after="150"/>
        <w:ind w:left="0" w:right="0"/>
        <w:rPr>
          <w:rStyle w:val="spanrvts0"/>
          <w:b w:val="0"/>
          <w:bCs w:val="0"/>
          <w:i w:val="0"/>
          <w:iCs w:val="0"/>
          <w:lang w:val="uk" w:eastAsia="uk"/>
        </w:rPr>
      </w:pPr>
      <w:bookmarkStart w:id="39" w:name="n40"/>
      <w:bookmarkEnd w:id="39"/>
      <w:r>
        <w:rPr>
          <w:rStyle w:val="spanrvts0"/>
          <w:b w:val="0"/>
          <w:bCs w:val="0"/>
          <w:i w:val="0"/>
          <w:iCs w:val="0"/>
          <w:lang w:val="uk" w:eastAsia="uk"/>
        </w:rPr>
        <w:t xml:space="preserve">4) </w:t>
      </w:r>
      <w:hyperlink r:id="rId7" w:anchor="n44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30 після абзацу двадцятого доповнити чотирма новими абзацами такого змісту:</w:t>
      </w:r>
    </w:p>
    <w:p>
      <w:pPr>
        <w:pStyle w:val="rvps2"/>
        <w:spacing w:before="0" w:after="150"/>
        <w:ind w:left="0" w:right="0"/>
        <w:rPr>
          <w:rStyle w:val="spanrvts0"/>
          <w:b w:val="0"/>
          <w:bCs w:val="0"/>
          <w:i w:val="0"/>
          <w:iCs w:val="0"/>
          <w:lang w:val="uk" w:eastAsia="uk"/>
        </w:rPr>
      </w:pPr>
      <w:bookmarkStart w:id="40" w:name="n41"/>
      <w:bookmarkEnd w:id="40"/>
      <w:r>
        <w:rPr>
          <w:rStyle w:val="spanrvts0"/>
          <w:b w:val="0"/>
          <w:bCs w:val="0"/>
          <w:i w:val="0"/>
          <w:iCs w:val="0"/>
          <w:lang w:val="uk" w:eastAsia="uk"/>
        </w:rPr>
        <w:t>"правила поведінки здобувача освіти в закладі освіти;</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план заходів, спрямованих на запобігання та протидію булінгу (цькуванню) в закладі освіти;</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порядок подання та розгляду (з дотриманням конфіденційності) заяв про випадки булінгу (цькування) в закладі освіти;</w:t>
      </w:r>
    </w:p>
    <w:p>
      <w:pPr>
        <w:pStyle w:val="rvps2"/>
        <w:spacing w:before="0" w:after="150"/>
        <w:ind w:left="0" w:right="0"/>
        <w:rPr>
          <w:rStyle w:val="spanrvts0"/>
          <w:b w:val="0"/>
          <w:bCs w:val="0"/>
          <w:i w:val="0"/>
          <w:iCs w:val="0"/>
          <w:lang w:val="uk" w:eastAsia="uk"/>
        </w:rPr>
      </w:pPr>
      <w:bookmarkStart w:id="43" w:name="n44"/>
      <w:bookmarkEnd w:id="43"/>
      <w:r>
        <w:rPr>
          <w:rStyle w:val="spanrvts0"/>
          <w:b w:val="0"/>
          <w:bCs w:val="0"/>
          <w:i w:val="0"/>
          <w:iCs w:val="0"/>
          <w:lang w:val="uk" w:eastAsia="uk"/>
        </w:rPr>
        <w:t>порядок реагування на доведені випадки булінгу (цькування) в закладі освіти та відповідальність осіб, причетних до булінгу (цькування)".</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У зв’язку з цим абзац двадцять перший вважати абзацом двадцять п’ятим;</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 xml:space="preserve">5) у </w:t>
      </w:r>
      <w:hyperlink r:id="rId7" w:anchor="n740" w:tgtFrame="_blank" w:history="1">
        <w:r>
          <w:rPr>
            <w:rStyle w:val="arvts96"/>
            <w:b w:val="0"/>
            <w:bCs w:val="0"/>
            <w:i w:val="0"/>
            <w:iCs w:val="0"/>
            <w:lang w:val="uk" w:eastAsia="uk"/>
          </w:rPr>
          <w:t>статті 53</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6" w:name="n47"/>
      <w:bookmarkEnd w:id="46"/>
      <w:r>
        <w:rPr>
          <w:rStyle w:val="spanrvts0"/>
          <w:b w:val="0"/>
          <w:bCs w:val="0"/>
          <w:i w:val="0"/>
          <w:iCs w:val="0"/>
          <w:lang w:val="uk" w:eastAsia="uk"/>
        </w:rPr>
        <w:t xml:space="preserve">у </w:t>
      </w:r>
      <w:hyperlink r:id="rId7" w:anchor="n741" w:tgtFrame="_blank" w:history="1">
        <w:r>
          <w:rPr>
            <w:rStyle w:val="arvts96"/>
            <w:b w:val="0"/>
            <w:bCs w:val="0"/>
            <w:i w:val="0"/>
            <w:iCs w:val="0"/>
            <w:lang w:val="uk" w:eastAsia="uk"/>
          </w:rPr>
          <w:t>частині першій</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абзац десятий після слів "форм насильства та експлуатації" доповнити словами "булінгу (цькування)";</w:t>
      </w:r>
    </w:p>
    <w:p>
      <w:pPr>
        <w:pStyle w:val="rvps2"/>
        <w:spacing w:before="0" w:after="150"/>
        <w:ind w:left="0" w:right="0"/>
        <w:rPr>
          <w:rStyle w:val="spanrvts0"/>
          <w:b w:val="0"/>
          <w:bCs w:val="0"/>
          <w:i w:val="0"/>
          <w:iCs w:val="0"/>
          <w:lang w:val="uk" w:eastAsia="uk"/>
        </w:rPr>
      </w:pPr>
      <w:bookmarkStart w:id="48" w:name="n49"/>
      <w:bookmarkEnd w:id="48"/>
      <w:r>
        <w:rPr>
          <w:rStyle w:val="spanrvts0"/>
          <w:b w:val="0"/>
          <w:bCs w:val="0"/>
          <w:i w:val="0"/>
          <w:iCs w:val="0"/>
          <w:lang w:val="uk" w:eastAsia="uk"/>
        </w:rPr>
        <w:t>після абзацу десятого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У зв’язку з цим абзаци одинадцятий - сімнадцятий вважати відповідно абзацами дванадцятим - вісімнадцятим;</w:t>
      </w:r>
    </w:p>
    <w:p>
      <w:pPr>
        <w:pStyle w:val="rvps2"/>
        <w:spacing w:before="0" w:after="150"/>
        <w:ind w:left="0" w:right="0"/>
        <w:rPr>
          <w:rStyle w:val="spanrvts0"/>
          <w:b w:val="0"/>
          <w:bCs w:val="0"/>
          <w:i w:val="0"/>
          <w:iCs w:val="0"/>
          <w:lang w:val="uk" w:eastAsia="uk"/>
        </w:rPr>
      </w:pPr>
      <w:bookmarkStart w:id="51" w:name="n52"/>
      <w:bookmarkEnd w:id="51"/>
      <w:hyperlink r:id="rId7" w:anchor="n759"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доповнити абзацом шостим такого змісту:</w:t>
      </w:r>
    </w:p>
    <w:p>
      <w:pPr>
        <w:pStyle w:val="rvps2"/>
        <w:spacing w:before="0" w:after="150"/>
        <w:ind w:left="0" w:right="0"/>
        <w:rPr>
          <w:rStyle w:val="spanrvts0"/>
          <w:b w:val="0"/>
          <w:bCs w:val="0"/>
          <w:i w:val="0"/>
          <w:iCs w:val="0"/>
          <w:lang w:val="uk" w:eastAsia="uk"/>
        </w:rPr>
      </w:pPr>
      <w:bookmarkStart w:id="52" w:name="n53"/>
      <w:bookmarkEnd w:id="52"/>
      <w:r>
        <w:rPr>
          <w:rStyle w:val="spanrvts0"/>
          <w:b w:val="0"/>
          <w:bCs w:val="0"/>
          <w:i w:val="0"/>
          <w:iCs w:val="0"/>
          <w:lang w:val="uk" w:eastAsia="uk"/>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 xml:space="preserve">6) у </w:t>
      </w:r>
      <w:hyperlink r:id="rId7" w:anchor="n766" w:tgtFrame="_blank" w:history="1">
        <w:r>
          <w:rPr>
            <w:rStyle w:val="arvts96"/>
            <w:b w:val="0"/>
            <w:bCs w:val="0"/>
            <w:i w:val="0"/>
            <w:iCs w:val="0"/>
            <w:lang w:val="uk" w:eastAsia="uk"/>
          </w:rPr>
          <w:t>статті 54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4" w:name="n55"/>
      <w:bookmarkEnd w:id="54"/>
      <w:hyperlink r:id="rId7" w:anchor="n767"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доповнити абзацом двадцятим такого змісту:</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pPr>
        <w:pStyle w:val="rvps2"/>
        <w:spacing w:before="0" w:after="150"/>
        <w:ind w:left="0" w:right="0"/>
        <w:rPr>
          <w:rStyle w:val="spanrvts0"/>
          <w:b w:val="0"/>
          <w:bCs w:val="0"/>
          <w:i w:val="0"/>
          <w:iCs w:val="0"/>
          <w:lang w:val="uk" w:eastAsia="uk"/>
        </w:rPr>
      </w:pPr>
      <w:bookmarkStart w:id="56" w:name="n57"/>
      <w:bookmarkEnd w:id="56"/>
      <w:hyperlink r:id="rId7" w:anchor="n786"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доповнити абзацом чотирнадцятим такого змісту:</w:t>
      </w:r>
    </w:p>
    <w:p>
      <w:pPr>
        <w:pStyle w:val="rvps2"/>
        <w:spacing w:before="0" w:after="150"/>
        <w:ind w:left="0" w:right="0"/>
        <w:rPr>
          <w:rStyle w:val="spanrvts0"/>
          <w:b w:val="0"/>
          <w:bCs w:val="0"/>
          <w:i w:val="0"/>
          <w:iCs w:val="0"/>
          <w:lang w:val="uk" w:eastAsia="uk"/>
        </w:rPr>
      </w:pPr>
      <w:bookmarkStart w:id="57" w:name="n58"/>
      <w:bookmarkEnd w:id="57"/>
      <w:r>
        <w:rPr>
          <w:rStyle w:val="spanrvts0"/>
          <w:b w:val="0"/>
          <w:bCs w:val="0"/>
          <w:i w:val="0"/>
          <w:iCs w:val="0"/>
          <w:lang w:val="uk" w:eastAsia="uk"/>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 xml:space="preserve">7) у </w:t>
      </w:r>
      <w:hyperlink r:id="rId7" w:anchor="n803" w:tgtFrame="_blank" w:history="1">
        <w:r>
          <w:rPr>
            <w:rStyle w:val="arvts96"/>
            <w:b w:val="0"/>
            <w:bCs w:val="0"/>
            <w:i w:val="0"/>
            <w:iCs w:val="0"/>
            <w:lang w:val="uk" w:eastAsia="uk"/>
          </w:rPr>
          <w:t>статті 55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9" w:name="n60"/>
      <w:bookmarkEnd w:id="59"/>
      <w:r>
        <w:rPr>
          <w:rStyle w:val="spanrvts0"/>
          <w:b w:val="0"/>
          <w:bCs w:val="0"/>
          <w:i w:val="0"/>
          <w:iCs w:val="0"/>
          <w:lang w:val="uk" w:eastAsia="uk"/>
        </w:rPr>
        <w:t xml:space="preserve">у </w:t>
      </w:r>
      <w:hyperlink r:id="rId7" w:anchor="n805" w:tgtFrame="_blank" w:history="1">
        <w:r>
          <w:rPr>
            <w:rStyle w:val="arvts96"/>
            <w:b w:val="0"/>
            <w:bCs w:val="0"/>
            <w:i w:val="0"/>
            <w:iCs w:val="0"/>
            <w:lang w:val="uk" w:eastAsia="uk"/>
          </w:rPr>
          <w:t>частині другій</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w:t>
      </w:r>
    </w:p>
    <w:p>
      <w:pPr>
        <w:pStyle w:val="rvps2"/>
        <w:spacing w:before="0" w:after="150"/>
        <w:ind w:left="0" w:right="0"/>
        <w:rPr>
          <w:rStyle w:val="spanrvts0"/>
          <w:b w:val="0"/>
          <w:bCs w:val="0"/>
          <w:i w:val="0"/>
          <w:iCs w:val="0"/>
          <w:lang w:val="uk" w:eastAsia="uk"/>
        </w:rPr>
      </w:pPr>
      <w:bookmarkStart w:id="61" w:name="n62"/>
      <w:bookmarkEnd w:id="61"/>
      <w:r>
        <w:rPr>
          <w:rStyle w:val="spanrvts0"/>
          <w:b w:val="0"/>
          <w:bCs w:val="0"/>
          <w:i w:val="0"/>
          <w:iCs w:val="0"/>
          <w:lang w:val="uk" w:eastAsia="uk"/>
        </w:rPr>
        <w:t>доповнити абзацами дев’ятим і десятим такого змісту:</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pPr>
        <w:pStyle w:val="rvps2"/>
        <w:spacing w:before="0" w:after="150"/>
        <w:ind w:left="0" w:right="0"/>
        <w:rPr>
          <w:rStyle w:val="spanrvts0"/>
          <w:b w:val="0"/>
          <w:bCs w:val="0"/>
          <w:i w:val="0"/>
          <w:iCs w:val="0"/>
          <w:lang w:val="uk" w:eastAsia="uk"/>
        </w:rPr>
      </w:pPr>
      <w:bookmarkStart w:id="63" w:name="n64"/>
      <w:bookmarkEnd w:id="63"/>
      <w:r>
        <w:rPr>
          <w:rStyle w:val="spanrvts0"/>
          <w:b w:val="0"/>
          <w:bCs w:val="0"/>
          <w:i w:val="0"/>
          <w:iCs w:val="0"/>
          <w:lang w:val="uk" w:eastAsia="uk"/>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pPr>
        <w:pStyle w:val="rvps2"/>
        <w:spacing w:before="0" w:after="150"/>
        <w:ind w:left="0" w:right="0"/>
        <w:rPr>
          <w:rStyle w:val="spanrvts0"/>
          <w:b w:val="0"/>
          <w:bCs w:val="0"/>
          <w:i w:val="0"/>
          <w:iCs w:val="0"/>
          <w:lang w:val="uk" w:eastAsia="uk"/>
        </w:rPr>
      </w:pPr>
      <w:bookmarkStart w:id="64" w:name="n65"/>
      <w:bookmarkEnd w:id="64"/>
      <w:hyperlink r:id="rId7" w:anchor="n813"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доповнити абзацами одинадцятим і дванадцятим такого змісту:</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"сприяти керівництву закладу освіти у проведенні розслідування щодо випадків булінгу (цькування);</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виконувати рішення та рекомендації комісії з розгляду випадків булінгу (цькування) в закладі освіти";</w:t>
      </w:r>
    </w:p>
    <w:p>
      <w:pPr>
        <w:pStyle w:val="rvps2"/>
        <w:spacing w:before="0" w:after="150"/>
        <w:ind w:left="0" w:right="0"/>
        <w:rPr>
          <w:rStyle w:val="spanrvts0"/>
          <w:b w:val="0"/>
          <w:bCs w:val="0"/>
          <w:i w:val="0"/>
          <w:iCs w:val="0"/>
          <w:lang w:val="uk" w:eastAsia="uk"/>
        </w:rPr>
      </w:pPr>
      <w:bookmarkStart w:id="67" w:name="n68"/>
      <w:bookmarkEnd w:id="67"/>
      <w:r>
        <w:rPr>
          <w:rStyle w:val="spanrvts0"/>
          <w:b w:val="0"/>
          <w:bCs w:val="0"/>
          <w:i w:val="0"/>
          <w:iCs w:val="0"/>
          <w:lang w:val="uk" w:eastAsia="uk"/>
        </w:rPr>
        <w:t xml:space="preserve">8) </w:t>
      </w:r>
      <w:hyperlink r:id="rId7" w:anchor="n926"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64 після абзацу восьмого доповнити двома новими абзацами такого змісту:</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узагальнює та оприлюднює інформацію про випадки булінгу (цькування) в закладах освіти".</w:t>
      </w:r>
    </w:p>
    <w:p>
      <w:pPr>
        <w:pStyle w:val="rvps2"/>
        <w:spacing w:before="0" w:after="150"/>
        <w:ind w:left="0" w:right="0"/>
        <w:rPr>
          <w:rStyle w:val="spanrvts0"/>
          <w:b w:val="0"/>
          <w:bCs w:val="0"/>
          <w:i w:val="0"/>
          <w:iCs w:val="0"/>
          <w:lang w:val="uk" w:eastAsia="uk"/>
        </w:rPr>
      </w:pPr>
      <w:bookmarkStart w:id="70" w:name="n71"/>
      <w:bookmarkEnd w:id="70"/>
      <w:r>
        <w:rPr>
          <w:rStyle w:val="spanrvts0"/>
          <w:b w:val="0"/>
          <w:bCs w:val="0"/>
          <w:i w:val="0"/>
          <w:iCs w:val="0"/>
          <w:lang w:val="uk" w:eastAsia="uk"/>
        </w:rPr>
        <w:t>У зв’язку з цим абзаци дев’ятий - двадцять шостий вважати відповідно абзацами одинадцятим - двадцять восьмим;</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 xml:space="preserve">9) </w:t>
      </w:r>
      <w:hyperlink r:id="rId7" w:anchor="n954"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65 після абзацу шостого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"сприяють розробленню плану заходів, спрямованих на запобігання та протидію булінгу (цькуванню) в закладах освіти".</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У зв’язку з цим абзаци сьомий і восьмий вважати відповідно абзацами восьмим і дев’ятим;</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 xml:space="preserve">10) у </w:t>
      </w:r>
      <w:hyperlink r:id="rId7" w:anchor="n962" w:tgtFrame="_blank" w:history="1">
        <w:r>
          <w:rPr>
            <w:rStyle w:val="arvts96"/>
            <w:b w:val="0"/>
            <w:bCs w:val="0"/>
            <w:i w:val="0"/>
            <w:iCs w:val="0"/>
            <w:lang w:val="uk" w:eastAsia="uk"/>
          </w:rPr>
          <w:t>статті 66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5" w:name="n76"/>
      <w:bookmarkEnd w:id="75"/>
      <w:hyperlink r:id="rId7" w:anchor="n963"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після абзацу сьомого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"сприяють розробленню плану заходів, спрямованих на запобігання та протидію булінгу (цькуванню) в закладах освіти".</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У зв’язку з цим абзац восьмий вважати абзацом дев’ятим;</w:t>
      </w:r>
    </w:p>
    <w:p>
      <w:pPr>
        <w:pStyle w:val="rvps2"/>
        <w:spacing w:before="0" w:after="150"/>
        <w:ind w:left="0" w:right="0"/>
        <w:rPr>
          <w:rStyle w:val="spanrvts0"/>
          <w:b w:val="0"/>
          <w:bCs w:val="0"/>
          <w:i w:val="0"/>
          <w:iCs w:val="0"/>
          <w:lang w:val="uk" w:eastAsia="uk"/>
        </w:rPr>
      </w:pPr>
      <w:bookmarkStart w:id="78" w:name="n79"/>
      <w:bookmarkEnd w:id="78"/>
      <w:hyperlink r:id="rId7" w:anchor="n971"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після абзацу одинадцятого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79" w:name="n80"/>
      <w:bookmarkEnd w:id="79"/>
      <w:r>
        <w:rPr>
          <w:rStyle w:val="spanrvts0"/>
          <w:b w:val="0"/>
          <w:bCs w:val="0"/>
          <w:i w:val="0"/>
          <w:iCs w:val="0"/>
          <w:lang w:val="uk" w:eastAsia="uk"/>
        </w:rPr>
        <w:t>"сприяють розробці плану заходів, спрямованих на запобігання та протидію булінгу (цькуванню) в закладах освіти".</w:t>
      </w:r>
    </w:p>
    <w:p>
      <w:pPr>
        <w:pStyle w:val="rvps2"/>
        <w:spacing w:before="0" w:after="150"/>
        <w:ind w:left="0" w:right="0"/>
        <w:rPr>
          <w:rStyle w:val="spanrvts0"/>
          <w:b w:val="0"/>
          <w:bCs w:val="0"/>
          <w:i w:val="0"/>
          <w:iCs w:val="0"/>
          <w:lang w:val="uk" w:eastAsia="uk"/>
        </w:rPr>
      </w:pPr>
      <w:bookmarkStart w:id="80" w:name="n81"/>
      <w:bookmarkEnd w:id="80"/>
      <w:r>
        <w:rPr>
          <w:rStyle w:val="spanrvts0"/>
          <w:b w:val="0"/>
          <w:bCs w:val="0"/>
          <w:i w:val="0"/>
          <w:iCs w:val="0"/>
          <w:lang w:val="uk" w:eastAsia="uk"/>
        </w:rPr>
        <w:t>У зв’язку з цим абзац дванадцятий вважати абзацом тринадцятим;</w:t>
      </w:r>
    </w:p>
    <w:p>
      <w:pPr>
        <w:pStyle w:val="rvps2"/>
        <w:spacing w:before="0" w:after="150"/>
        <w:ind w:left="0" w:right="0"/>
        <w:rPr>
          <w:rStyle w:val="spanrvts0"/>
          <w:b w:val="0"/>
          <w:bCs w:val="0"/>
          <w:i w:val="0"/>
          <w:iCs w:val="0"/>
          <w:lang w:val="uk" w:eastAsia="uk"/>
        </w:rPr>
      </w:pPr>
      <w:bookmarkStart w:id="81" w:name="n82"/>
      <w:bookmarkEnd w:id="81"/>
      <w:r>
        <w:rPr>
          <w:rStyle w:val="spanrvts0"/>
          <w:b w:val="0"/>
          <w:bCs w:val="0"/>
          <w:i w:val="0"/>
          <w:iCs w:val="0"/>
          <w:lang w:val="uk" w:eastAsia="uk"/>
        </w:rPr>
        <w:t xml:space="preserve">11) </w:t>
      </w:r>
      <w:hyperlink r:id="rId7" w:anchor="n1050" w:tgtFrame="_blank" w:history="1">
        <w:r>
          <w:rPr>
            <w:rStyle w:val="arvts96"/>
            <w:b w:val="0"/>
            <w:bCs w:val="0"/>
            <w:i w:val="0"/>
            <w:iCs w:val="0"/>
            <w:lang w:val="uk" w:eastAsia="uk"/>
          </w:rPr>
          <w:t>пункт 2</w:t>
        </w:r>
      </w:hyperlink>
      <w:r>
        <w:rPr>
          <w:rStyle w:val="spanrvts0"/>
          <w:b w:val="0"/>
          <w:bCs w:val="0"/>
          <w:i w:val="0"/>
          <w:iCs w:val="0"/>
          <w:lang w:val="uk" w:eastAsia="uk"/>
        </w:rPr>
        <w:t xml:space="preserve"> частини другої статті 71 доповнити абзацом п’ятим такого змісту:</w:t>
      </w:r>
    </w:p>
    <w:p>
      <w:pPr>
        <w:pStyle w:val="rvps2"/>
        <w:spacing w:before="0" w:after="150"/>
        <w:ind w:left="0" w:right="0"/>
        <w:rPr>
          <w:rStyle w:val="spanrvts0"/>
          <w:b w:val="0"/>
          <w:bCs w:val="0"/>
          <w:i w:val="0"/>
          <w:iCs w:val="0"/>
          <w:lang w:val="uk" w:eastAsia="uk"/>
        </w:rPr>
      </w:pPr>
      <w:bookmarkStart w:id="82" w:name="n83"/>
      <w:bookmarkEnd w:id="82"/>
      <w:r>
        <w:rPr>
          <w:rStyle w:val="spanrvts0"/>
          <w:b w:val="0"/>
          <w:bCs w:val="0"/>
          <w:i w:val="0"/>
          <w:iCs w:val="0"/>
          <w:lang w:val="uk" w:eastAsia="uk"/>
        </w:rPr>
        <w:t>"випадків булінгу (цькування) в закладах освіти та заходів реагування на такі випадки, вжитих керівництвом закладу освіти або його засновником";</w:t>
      </w:r>
    </w:p>
    <w:p>
      <w:pPr>
        <w:pStyle w:val="rvps2"/>
        <w:spacing w:before="0" w:after="150"/>
        <w:ind w:left="0" w:right="0"/>
        <w:rPr>
          <w:rStyle w:val="spanrvts0"/>
          <w:b w:val="0"/>
          <w:bCs w:val="0"/>
          <w:i w:val="0"/>
          <w:iCs w:val="0"/>
          <w:lang w:val="uk" w:eastAsia="uk"/>
        </w:rPr>
      </w:pPr>
      <w:bookmarkStart w:id="83" w:name="n84"/>
      <w:bookmarkEnd w:id="83"/>
      <w:r>
        <w:rPr>
          <w:rStyle w:val="spanrvts0"/>
          <w:b w:val="0"/>
          <w:bCs w:val="0"/>
          <w:i w:val="0"/>
          <w:iCs w:val="0"/>
          <w:lang w:val="uk" w:eastAsia="uk"/>
        </w:rPr>
        <w:t xml:space="preserve">12) </w:t>
      </w:r>
      <w:hyperlink r:id="rId7" w:anchor="n1069" w:tgtFrame="_blank" w:history="1">
        <w:r>
          <w:rPr>
            <w:rStyle w:val="arvts96"/>
            <w:b w:val="0"/>
            <w:bCs w:val="0"/>
            <w:i w:val="0"/>
            <w:iCs w:val="0"/>
            <w:lang w:val="uk" w:eastAsia="uk"/>
          </w:rPr>
          <w:t>частину четверту</w:t>
        </w:r>
      </w:hyperlink>
      <w:r>
        <w:rPr>
          <w:rStyle w:val="spanrvts0"/>
          <w:b w:val="0"/>
          <w:bCs w:val="0"/>
          <w:i w:val="0"/>
          <w:iCs w:val="0"/>
          <w:lang w:val="uk" w:eastAsia="uk"/>
        </w:rPr>
        <w:t xml:space="preserve"> статті 73 після абзацу третього доповнити двома новими абзацами такого змісту:</w:t>
      </w:r>
    </w:p>
    <w:p>
      <w:pPr>
        <w:pStyle w:val="rvps2"/>
        <w:spacing w:before="0" w:after="150"/>
        <w:ind w:left="0" w:right="0"/>
        <w:rPr>
          <w:rStyle w:val="spanrvts0"/>
          <w:b w:val="0"/>
          <w:bCs w:val="0"/>
          <w:i w:val="0"/>
          <w:iCs w:val="0"/>
          <w:lang w:val="uk" w:eastAsia="uk"/>
        </w:rPr>
      </w:pPr>
      <w:bookmarkStart w:id="84" w:name="n85"/>
      <w:bookmarkEnd w:id="84"/>
      <w:r>
        <w:rPr>
          <w:rStyle w:val="spanrvts0"/>
          <w:b w:val="0"/>
          <w:bCs w:val="0"/>
          <w:i w:val="0"/>
          <w:iCs w:val="0"/>
          <w:lang w:val="uk" w:eastAsia="uk"/>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pPr>
        <w:pStyle w:val="rvps2"/>
        <w:spacing w:before="0" w:after="150"/>
        <w:ind w:left="0" w:right="0"/>
        <w:rPr>
          <w:rStyle w:val="spanrvts0"/>
          <w:b w:val="0"/>
          <w:bCs w:val="0"/>
          <w:i w:val="0"/>
          <w:iCs w:val="0"/>
          <w:lang w:val="uk" w:eastAsia="uk"/>
        </w:rPr>
      </w:pPr>
      <w:bookmarkStart w:id="85" w:name="n86"/>
      <w:bookmarkEnd w:id="85"/>
      <w:r>
        <w:rPr>
          <w:rStyle w:val="spanrvts0"/>
          <w:b w:val="0"/>
          <w:bCs w:val="0"/>
          <w:i w:val="0"/>
          <w:iCs w:val="0"/>
          <w:lang w:val="uk" w:eastAsia="uk"/>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pPr>
        <w:pStyle w:val="rvps2"/>
        <w:spacing w:before="0" w:after="150"/>
        <w:ind w:left="0" w:right="0"/>
        <w:rPr>
          <w:rStyle w:val="spanrvts0"/>
          <w:b w:val="0"/>
          <w:bCs w:val="0"/>
          <w:i w:val="0"/>
          <w:iCs w:val="0"/>
          <w:lang w:val="uk" w:eastAsia="uk"/>
        </w:rPr>
      </w:pPr>
      <w:bookmarkStart w:id="86" w:name="n87"/>
      <w:bookmarkEnd w:id="86"/>
      <w:r>
        <w:rPr>
          <w:rStyle w:val="spanrvts0"/>
          <w:b w:val="0"/>
          <w:bCs w:val="0"/>
          <w:i w:val="0"/>
          <w:iCs w:val="0"/>
          <w:lang w:val="uk" w:eastAsia="uk"/>
        </w:rPr>
        <w:t>У зв’язку з цим абзаци четвертий - восьмий вважати відповідно абзацами шостим - десятим;</w:t>
      </w:r>
    </w:p>
    <w:p>
      <w:pPr>
        <w:pStyle w:val="rvps2"/>
        <w:spacing w:before="0" w:after="150"/>
        <w:ind w:left="0" w:right="0"/>
        <w:rPr>
          <w:rStyle w:val="spanrvts0"/>
          <w:b w:val="0"/>
          <w:bCs w:val="0"/>
          <w:i w:val="0"/>
          <w:iCs w:val="0"/>
          <w:lang w:val="uk" w:eastAsia="uk"/>
        </w:rPr>
      </w:pPr>
      <w:bookmarkStart w:id="87" w:name="n88"/>
      <w:bookmarkEnd w:id="87"/>
      <w:r>
        <w:rPr>
          <w:rStyle w:val="spanrvts0"/>
          <w:b w:val="0"/>
          <w:bCs w:val="0"/>
          <w:i w:val="0"/>
          <w:iCs w:val="0"/>
          <w:lang w:val="uk" w:eastAsia="uk"/>
        </w:rPr>
        <w:t xml:space="preserve">13) </w:t>
      </w:r>
      <w:hyperlink r:id="rId7" w:anchor="n1111"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76 викласти в такій редакції:</w:t>
      </w:r>
    </w:p>
    <w:p>
      <w:pPr>
        <w:pStyle w:val="rvps2"/>
        <w:spacing w:before="0" w:after="150"/>
        <w:ind w:left="0" w:right="0"/>
        <w:rPr>
          <w:rStyle w:val="spanrvts0"/>
          <w:b w:val="0"/>
          <w:bCs w:val="0"/>
          <w:i w:val="0"/>
          <w:iCs w:val="0"/>
          <w:lang w:val="uk" w:eastAsia="uk"/>
        </w:rPr>
      </w:pPr>
      <w:bookmarkStart w:id="88" w:name="n89"/>
      <w:bookmarkEnd w:id="88"/>
      <w:r>
        <w:rPr>
          <w:rStyle w:val="spanrvts0"/>
          <w:b w:val="0"/>
          <w:bCs w:val="0"/>
          <w:i w:val="0"/>
          <w:iCs w:val="0"/>
          <w:lang w:val="uk" w:eastAsia="uk"/>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pPr>
        <w:pStyle w:val="rvps2"/>
        <w:spacing w:before="0" w:after="150"/>
        <w:ind w:left="0" w:right="0"/>
        <w:rPr>
          <w:rStyle w:val="spanrvts0"/>
          <w:b w:val="0"/>
          <w:bCs w:val="0"/>
          <w:i w:val="0"/>
          <w:iCs w:val="0"/>
          <w:lang w:val="uk" w:eastAsia="uk"/>
        </w:rPr>
      </w:pPr>
      <w:bookmarkStart w:id="89" w:name="n90"/>
      <w:bookmarkEnd w:id="89"/>
      <w:r>
        <w:rPr>
          <w:rStyle w:val="spanrvts0"/>
          <w:b w:val="0"/>
          <w:bCs w:val="0"/>
          <w:i w:val="0"/>
          <w:iCs w:val="0"/>
          <w:lang w:val="uk" w:eastAsia="uk"/>
        </w:rPr>
        <w:t>II. Прикінцеві положення</w:t>
      </w:r>
    </w:p>
    <w:p>
      <w:pPr>
        <w:pStyle w:val="rvps2"/>
        <w:spacing w:before="0" w:after="150"/>
        <w:ind w:left="0" w:right="0"/>
        <w:rPr>
          <w:rStyle w:val="spanrvts0"/>
          <w:b w:val="0"/>
          <w:bCs w:val="0"/>
          <w:i w:val="0"/>
          <w:iCs w:val="0"/>
          <w:lang w:val="uk" w:eastAsia="uk"/>
        </w:rPr>
      </w:pPr>
      <w:bookmarkStart w:id="90" w:name="n91"/>
      <w:bookmarkEnd w:id="90"/>
      <w:r>
        <w:rPr>
          <w:rStyle w:val="spanrvts0"/>
          <w:b w:val="0"/>
          <w:bCs w:val="0"/>
          <w:i w:val="0"/>
          <w:iCs w:val="0"/>
          <w:lang w:val="uk" w:eastAsia="uk"/>
        </w:rPr>
        <w:t>1. Цей Закон набирає чинності з дня, наступного за днем його опублікування.</w:t>
      </w:r>
    </w:p>
    <w:p>
      <w:pPr>
        <w:pStyle w:val="rvps2"/>
        <w:spacing w:before="0" w:after="150"/>
        <w:ind w:left="0" w:right="0"/>
        <w:rPr>
          <w:rStyle w:val="spanrvts0"/>
          <w:b w:val="0"/>
          <w:bCs w:val="0"/>
          <w:i w:val="0"/>
          <w:iCs w:val="0"/>
          <w:lang w:val="uk" w:eastAsia="uk"/>
        </w:rPr>
      </w:pPr>
      <w:bookmarkStart w:id="91" w:name="n92"/>
      <w:bookmarkEnd w:id="91"/>
      <w:r>
        <w:rPr>
          <w:rStyle w:val="spanrvts0"/>
          <w:b w:val="0"/>
          <w:bCs w:val="0"/>
          <w:i w:val="0"/>
          <w:iCs w:val="0"/>
          <w:lang w:val="uk" w:eastAsia="uk"/>
        </w:rPr>
        <w:t>2. Кабінету Міністрів України протягом трьох місяців з дня набрання чинності цим Законом:</w:t>
      </w:r>
    </w:p>
    <w:p>
      <w:pPr>
        <w:pStyle w:val="rvps2"/>
        <w:spacing w:before="0" w:after="150"/>
        <w:ind w:left="0" w:right="0"/>
        <w:rPr>
          <w:rStyle w:val="spanrvts0"/>
          <w:b w:val="0"/>
          <w:bCs w:val="0"/>
          <w:i w:val="0"/>
          <w:iCs w:val="0"/>
          <w:lang w:val="uk" w:eastAsia="uk"/>
        </w:rPr>
      </w:pPr>
      <w:bookmarkStart w:id="92" w:name="n93"/>
      <w:bookmarkEnd w:id="92"/>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93" w:name="n94"/>
      <w:bookmarkEnd w:id="93"/>
      <w:r>
        <w:rPr>
          <w:rStyle w:val="spanrvts0"/>
          <w:b w:val="0"/>
          <w:bCs w:val="0"/>
          <w:i w:val="0"/>
          <w:iCs w:val="0"/>
          <w:lang w:val="uk" w:eastAsia="uk"/>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94" w:name="n95"/>
            <w:bookmarkEnd w:id="94"/>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м. Київ</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18 грудня 2018 року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 2657-VIII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внесення змін до деяких законодавчих актів України щодо протидії булінгу (цькуванню)</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18.12.2018 № 2657-VIII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18.12.2018</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https://zakon.rada.gov.ua/go/2657-19</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18.01.2019 — № 11</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22.01.2019 — № 13</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29.01.2019 — 2019 р., № 8, стор. 9, стаття 255, код акта 93132/2019</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01.02.2019 — 2019 р., № 5, стор. 5, стаття 33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80731-10" TargetMode="External" /><Relationship Id="rId6" Type="http://schemas.openxmlformats.org/officeDocument/2006/relationships/hyperlink" Target="https://zakon.rada.gov.ua/laws/show/80732-10" TargetMode="External" /><Relationship Id="rId7" Type="http://schemas.openxmlformats.org/officeDocument/2006/relationships/hyperlink" Target="https://zakon.rada.gov.ua/laws/show/2145-19"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деяких законодавчих актів України щодо протидії булінгу (цькуванню) | від 18.12.2018 № 2657-VIII</dc:title>
  <cp:revision>0</cp:revision>
</cp:coreProperties>
</file>